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55F99">
        <w:rPr>
          <w:rFonts w:ascii="Verdana" w:hAnsi="Verdana"/>
          <w:b/>
          <w:sz w:val="18"/>
          <w:szCs w:val="18"/>
        </w:rPr>
        <w:t>„</w:t>
      </w:r>
      <w:r w:rsidR="00A55F99" w:rsidRPr="00A55F99">
        <w:rPr>
          <w:rFonts w:ascii="Verdana" w:hAnsi="Verdana"/>
          <w:b/>
          <w:sz w:val="18"/>
          <w:szCs w:val="18"/>
        </w:rPr>
        <w:t>Oprava čelisťových závěrů na trati Vraňany – Děčín – státní hranice 2022-2024</w:t>
      </w:r>
      <w:r w:rsidRPr="00A55F99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55F99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F59850"/>
  <w15:docId w15:val="{120793A5-6165-47CB-B874-63F94DDEC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4AA78E-C160-489C-AB56-258A0D237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2018-03-26T11:24:00Z</cp:lastPrinted>
  <dcterms:created xsi:type="dcterms:W3CDTF">2018-12-07T16:33:00Z</dcterms:created>
  <dcterms:modified xsi:type="dcterms:W3CDTF">2022-08-24T06:45:00Z</dcterms:modified>
</cp:coreProperties>
</file>